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BA" w:rsidRDefault="000A3798">
      <w:r>
        <w:rPr>
          <w:noProof/>
        </w:rPr>
        <w:drawing>
          <wp:inline distT="0" distB="0" distL="0" distR="0">
            <wp:extent cx="32766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6600" cy="2457450"/>
                    </a:xfrm>
                    <a:prstGeom prst="rect">
                      <a:avLst/>
                    </a:prstGeom>
                  </pic:spPr>
                </pic:pic>
              </a:graphicData>
            </a:graphic>
          </wp:inline>
        </w:drawing>
      </w:r>
    </w:p>
    <w:p w:rsidR="000A3798" w:rsidRDefault="000A3798"/>
    <w:p w:rsidR="00BE3C2F" w:rsidRDefault="00BE3C2F" w:rsidP="00472AC2">
      <w:pPr>
        <w:jc w:val="center"/>
        <w:rPr>
          <w:rFonts w:ascii="AR DELANEY" w:hAnsi="AR DELANEY" w:cs="Angsana New"/>
          <w:sz w:val="32"/>
          <w:szCs w:val="32"/>
        </w:rPr>
      </w:pPr>
    </w:p>
    <w:p w:rsidR="00BE3C2F" w:rsidRDefault="00BE3C2F" w:rsidP="00472AC2">
      <w:pPr>
        <w:jc w:val="center"/>
        <w:rPr>
          <w:rFonts w:ascii="AR DELANEY" w:hAnsi="AR DELANEY" w:cs="Angsana New"/>
          <w:sz w:val="32"/>
          <w:szCs w:val="32"/>
        </w:rPr>
      </w:pPr>
    </w:p>
    <w:p w:rsidR="000A3798" w:rsidRDefault="00472AC2" w:rsidP="00472AC2">
      <w:pPr>
        <w:jc w:val="center"/>
        <w:rPr>
          <w:rFonts w:ascii="AR DELANEY" w:hAnsi="AR DELANEY" w:cs="Angsana New"/>
          <w:sz w:val="32"/>
          <w:szCs w:val="32"/>
        </w:rPr>
      </w:pPr>
      <w:r>
        <w:rPr>
          <w:rFonts w:ascii="AR DELANEY" w:hAnsi="AR DELANEY" w:cs="Angsana New"/>
          <w:sz w:val="32"/>
          <w:szCs w:val="32"/>
        </w:rPr>
        <w:t>TBI Raiders Yearly Events:</w:t>
      </w:r>
    </w:p>
    <w:p w:rsidR="00472AC2" w:rsidRDefault="00472AC2" w:rsidP="00472AC2">
      <w:pPr>
        <w:jc w:val="center"/>
        <w:rPr>
          <w:rFonts w:ascii="AR DELANEY" w:hAnsi="AR DELANEY" w:cs="Angsana New"/>
          <w:sz w:val="32"/>
          <w:szCs w:val="32"/>
        </w:rPr>
      </w:pPr>
      <w:r>
        <w:rPr>
          <w:rFonts w:ascii="AR DELANEY" w:hAnsi="AR DELANEY" w:cs="Angsana New"/>
          <w:sz w:val="32"/>
          <w:szCs w:val="32"/>
        </w:rPr>
        <w:t>Volunteer Training</w:t>
      </w:r>
    </w:p>
    <w:p w:rsidR="00472AC2" w:rsidRDefault="00472AC2" w:rsidP="00472AC2">
      <w:pPr>
        <w:jc w:val="center"/>
        <w:rPr>
          <w:rFonts w:ascii="AR DELANEY" w:hAnsi="AR DELANEY" w:cs="Angsana New"/>
          <w:sz w:val="32"/>
          <w:szCs w:val="32"/>
        </w:rPr>
      </w:pPr>
      <w:r>
        <w:rPr>
          <w:rFonts w:ascii="AR DELANEY" w:hAnsi="AR DELANEY" w:cs="Angsana New"/>
          <w:sz w:val="32"/>
          <w:szCs w:val="32"/>
        </w:rPr>
        <w:t>Raiders Explosion</w:t>
      </w:r>
    </w:p>
    <w:p w:rsidR="00472AC2" w:rsidRDefault="00472AC2" w:rsidP="00472AC2">
      <w:pPr>
        <w:jc w:val="center"/>
        <w:rPr>
          <w:rFonts w:ascii="AR DELANEY" w:hAnsi="AR DELANEY" w:cs="Angsana New"/>
          <w:sz w:val="32"/>
          <w:szCs w:val="32"/>
        </w:rPr>
      </w:pPr>
      <w:r>
        <w:rPr>
          <w:rFonts w:ascii="AR DELANEY" w:hAnsi="AR DELANEY" w:cs="Angsana New"/>
          <w:sz w:val="32"/>
          <w:szCs w:val="32"/>
        </w:rPr>
        <w:t>Raiders Experience</w:t>
      </w:r>
    </w:p>
    <w:p w:rsidR="00472AC2" w:rsidRDefault="00472AC2" w:rsidP="00472AC2">
      <w:pPr>
        <w:jc w:val="center"/>
        <w:rPr>
          <w:rFonts w:ascii="AR DELANEY" w:hAnsi="AR DELANEY" w:cs="Angsana New"/>
          <w:sz w:val="32"/>
          <w:szCs w:val="32"/>
        </w:rPr>
      </w:pPr>
    </w:p>
    <w:p w:rsidR="00472AC2" w:rsidRDefault="00472AC2" w:rsidP="00472AC2">
      <w:pPr>
        <w:jc w:val="center"/>
        <w:rPr>
          <w:rFonts w:ascii="AR DELANEY" w:hAnsi="AR DELANEY" w:cs="Angsana New"/>
          <w:sz w:val="32"/>
          <w:szCs w:val="32"/>
        </w:rPr>
      </w:pPr>
    </w:p>
    <w:p w:rsidR="00BE3C2F" w:rsidRDefault="00BE3C2F" w:rsidP="00472AC2">
      <w:pPr>
        <w:jc w:val="center"/>
        <w:rPr>
          <w:rFonts w:ascii="Chaucer" w:hAnsi="Chaucer" w:cs="Angsana New"/>
          <w:sz w:val="32"/>
          <w:szCs w:val="32"/>
        </w:rPr>
      </w:pPr>
    </w:p>
    <w:p w:rsidR="00BE3C2F" w:rsidRDefault="00BE3C2F" w:rsidP="00472AC2">
      <w:pPr>
        <w:jc w:val="center"/>
        <w:rPr>
          <w:rFonts w:ascii="Chaucer" w:hAnsi="Chaucer" w:cs="Angsana New"/>
          <w:sz w:val="32"/>
          <w:szCs w:val="32"/>
        </w:rPr>
      </w:pPr>
    </w:p>
    <w:p w:rsidR="00472AC2" w:rsidRDefault="00CA68B2" w:rsidP="00472AC2">
      <w:pPr>
        <w:jc w:val="center"/>
        <w:rPr>
          <w:rFonts w:ascii="Chaucer" w:hAnsi="Chaucer" w:cs="Angsana New"/>
          <w:sz w:val="32"/>
          <w:szCs w:val="32"/>
        </w:rPr>
      </w:pPr>
      <w:r>
        <w:rPr>
          <w:rFonts w:ascii="Chaucer" w:hAnsi="Chaucer" w:cs="Angsana New"/>
          <w:sz w:val="32"/>
          <w:szCs w:val="32"/>
        </w:rPr>
        <w:t>An opportunity to educate</w:t>
      </w:r>
      <w:bookmarkStart w:id="0" w:name="_GoBack"/>
      <w:bookmarkEnd w:id="0"/>
      <w:r w:rsidR="00472AC2">
        <w:rPr>
          <w:rFonts w:ascii="Chaucer" w:hAnsi="Chaucer" w:cs="Angsana New"/>
          <w:sz w:val="32"/>
          <w:szCs w:val="32"/>
        </w:rPr>
        <w:t xml:space="preserve"> everyone about the REALITIES of Traumatic Brain Injury survivors and the CAPABILITIES of those living with the disability, just as anyone can be affected by a Traumatic Brain Injury, the potential outcomes of those living with the disability should not be set by limits.  Yes the goals and dreams that are set by those who have sustained a Traumatic Brain Injury may need to be adjusted or changed but that doesn’t mean that once you sustain a TBI, everything is hopeless.</w:t>
      </w:r>
      <w:r w:rsidR="00BE3C2F">
        <w:rPr>
          <w:rFonts w:ascii="Chaucer" w:hAnsi="Chaucer" w:cs="Angsana New"/>
          <w:sz w:val="32"/>
          <w:szCs w:val="32"/>
        </w:rPr>
        <w:t xml:space="preserve"> No two TBI’s are alike.</w:t>
      </w:r>
    </w:p>
    <w:p w:rsidR="000A3798" w:rsidRDefault="000A3798">
      <w:pPr>
        <w:rPr>
          <w:rFonts w:ascii="Chaucer" w:hAnsi="Chaucer" w:cs="Angsana New"/>
          <w:sz w:val="32"/>
          <w:szCs w:val="32"/>
        </w:rPr>
      </w:pPr>
    </w:p>
    <w:p w:rsidR="00BE3C2F" w:rsidRPr="00BE3C2F" w:rsidRDefault="00BE3C2F">
      <w:pPr>
        <w:rPr>
          <w:rFonts w:ascii="Cambria Math" w:hAnsi="Cambria Math" w:cs="Angsana New"/>
          <w:sz w:val="28"/>
          <w:szCs w:val="28"/>
        </w:rPr>
      </w:pPr>
      <w:r w:rsidRPr="00BE3C2F">
        <w:rPr>
          <w:rFonts w:ascii="Cambria Math" w:hAnsi="Cambria Math" w:cs="Angsana New"/>
          <w:sz w:val="28"/>
          <w:szCs w:val="28"/>
        </w:rPr>
        <w:t xml:space="preserve">If you had a friend who had been in an automobile accident where they not only </w:t>
      </w:r>
      <w:r w:rsidRPr="00BE3C2F">
        <w:rPr>
          <w:rFonts w:ascii="Cambria Math" w:hAnsi="Cambria Math" w:cs="Angsana New"/>
          <w:sz w:val="28"/>
          <w:szCs w:val="28"/>
        </w:rPr>
        <w:lastRenderedPageBreak/>
        <w:t>had been broadsided at 60 miles per hour but the driver’s door had been slammed half way in the middle of the driver’s wheel, bottom left three ribs broken, and the brain would slam against both sides of their skull at 60 miles per hour, do you think they would have survived?</w:t>
      </w:r>
    </w:p>
    <w:p w:rsidR="00BE3C2F" w:rsidRDefault="00BE3C2F">
      <w:pPr>
        <w:rPr>
          <w:rFonts w:ascii="Cambria Math" w:hAnsi="Cambria Math" w:cs="Angsana New"/>
          <w:sz w:val="28"/>
          <w:szCs w:val="28"/>
        </w:rPr>
      </w:pPr>
      <w:r w:rsidRPr="00BE3C2F">
        <w:rPr>
          <w:rFonts w:ascii="Cambria Math" w:hAnsi="Cambria Math" w:cs="Angsana New"/>
          <w:sz w:val="28"/>
          <w:szCs w:val="28"/>
        </w:rPr>
        <w:t>Well that is what happened to TBI Raiders Executive Director, Allie Murie when she was only 16 years old.  At the time she loved helping others and planned on becoming a professional ballerina.  She may never be able to dance professionally but she can still dance and more importantly she never has had to give up her love for helping others</w:t>
      </w:r>
      <w:r w:rsidR="00344B47">
        <w:rPr>
          <w:rFonts w:ascii="Cambria Math" w:hAnsi="Cambria Math" w:cs="Angsana New"/>
          <w:sz w:val="28"/>
          <w:szCs w:val="28"/>
        </w:rPr>
        <w:t xml:space="preserve"> and in the process has learned how to become more </w:t>
      </w:r>
      <w:proofErr w:type="gramStart"/>
      <w:r w:rsidR="00344B47">
        <w:rPr>
          <w:rFonts w:ascii="Cambria Math" w:hAnsi="Cambria Math" w:cs="Angsana New"/>
          <w:sz w:val="28"/>
          <w:szCs w:val="28"/>
        </w:rPr>
        <w:t>of</w:t>
      </w:r>
      <w:proofErr w:type="gramEnd"/>
      <w:r w:rsidR="00344B47">
        <w:rPr>
          <w:rFonts w:ascii="Cambria Math" w:hAnsi="Cambria Math" w:cs="Angsana New"/>
          <w:sz w:val="28"/>
          <w:szCs w:val="28"/>
        </w:rPr>
        <w:t xml:space="preserve"> a leader that creates change around her</w:t>
      </w:r>
      <w:r w:rsidRPr="00BE3C2F">
        <w:rPr>
          <w:rFonts w:ascii="Cambria Math" w:hAnsi="Cambria Math" w:cs="Angsana New"/>
          <w:sz w:val="28"/>
          <w:szCs w:val="28"/>
        </w:rPr>
        <w:t>.</w:t>
      </w:r>
    </w:p>
    <w:p w:rsidR="00344B47" w:rsidRDefault="00344B47">
      <w:pPr>
        <w:rPr>
          <w:rFonts w:ascii="Cambria Math" w:hAnsi="Cambria Math" w:cs="Angsana New"/>
          <w:sz w:val="28"/>
          <w:szCs w:val="28"/>
        </w:rPr>
      </w:pPr>
    </w:p>
    <w:p w:rsidR="001C4E83" w:rsidRDefault="001C4E83">
      <w:pPr>
        <w:rPr>
          <w:rFonts w:ascii="Pickwick" w:hAnsi="Pickwick" w:cs="Angsana New"/>
          <w:sz w:val="44"/>
          <w:szCs w:val="44"/>
        </w:rPr>
      </w:pPr>
    </w:p>
    <w:p w:rsidR="001C4E83" w:rsidRDefault="001C4E83">
      <w:pPr>
        <w:rPr>
          <w:rFonts w:ascii="Pickwick" w:hAnsi="Pickwick" w:cs="Angsana New"/>
          <w:sz w:val="44"/>
          <w:szCs w:val="44"/>
        </w:rPr>
      </w:pPr>
    </w:p>
    <w:p w:rsidR="00344B47" w:rsidRDefault="00344B47">
      <w:pPr>
        <w:rPr>
          <w:rFonts w:ascii="Pickwick" w:hAnsi="Pickwick" w:cs="Angsana New"/>
          <w:sz w:val="44"/>
          <w:szCs w:val="44"/>
        </w:rPr>
      </w:pPr>
      <w:r>
        <w:rPr>
          <w:rFonts w:ascii="Pickwick" w:hAnsi="Pickwick" w:cs="Angsana New"/>
          <w:sz w:val="44"/>
          <w:szCs w:val="44"/>
        </w:rPr>
        <w:lastRenderedPageBreak/>
        <w:t>Member</w:t>
      </w:r>
      <w:r w:rsidRPr="00344B47">
        <w:rPr>
          <w:rFonts w:ascii="Pickwick" w:hAnsi="Pickwick" w:cs="Angsana New"/>
          <w:sz w:val="44"/>
          <w:szCs w:val="44"/>
        </w:rPr>
        <w:t xml:space="preserve"> Training</w:t>
      </w:r>
    </w:p>
    <w:p w:rsidR="00344B47" w:rsidRDefault="00344B47">
      <w:pPr>
        <w:rPr>
          <w:rFonts w:ascii="Cambria Math" w:hAnsi="Cambria Math" w:cs="Angsana New"/>
          <w:sz w:val="28"/>
          <w:szCs w:val="28"/>
        </w:rPr>
      </w:pPr>
    </w:p>
    <w:p w:rsidR="00344B47" w:rsidRPr="00AC28E5" w:rsidRDefault="00344B47">
      <w:pPr>
        <w:rPr>
          <w:rFonts w:ascii="Cambria Math" w:hAnsi="Cambria Math"/>
          <w:sz w:val="24"/>
          <w:szCs w:val="24"/>
        </w:rPr>
      </w:pPr>
      <w:r w:rsidRPr="00AC28E5">
        <w:rPr>
          <w:rFonts w:ascii="Cambria Math" w:hAnsi="Cambria Math"/>
          <w:sz w:val="24"/>
          <w:szCs w:val="24"/>
        </w:rPr>
        <w:t xml:space="preserve">This takes place every August.  This is to not only educate the members about Traumatic Brain Injury, but to… </w:t>
      </w:r>
    </w:p>
    <w:p w:rsidR="00344B47" w:rsidRPr="00AC28E5" w:rsidRDefault="00344B47" w:rsidP="00344B47">
      <w:pPr>
        <w:pStyle w:val="ListParagraph"/>
        <w:numPr>
          <w:ilvl w:val="0"/>
          <w:numId w:val="1"/>
        </w:numPr>
        <w:rPr>
          <w:rFonts w:ascii="Cambria Math" w:hAnsi="Cambria Math"/>
          <w:sz w:val="24"/>
          <w:szCs w:val="24"/>
        </w:rPr>
      </w:pPr>
      <w:r w:rsidRPr="00AC28E5">
        <w:rPr>
          <w:rFonts w:ascii="Cambria Math" w:hAnsi="Cambria Math"/>
          <w:sz w:val="24"/>
          <w:szCs w:val="24"/>
        </w:rPr>
        <w:t>Also show the capabilities and potentialities of survivors</w:t>
      </w:r>
    </w:p>
    <w:p w:rsidR="00344B47" w:rsidRPr="00AC28E5" w:rsidRDefault="00344B47" w:rsidP="00344B47">
      <w:pPr>
        <w:pStyle w:val="ListParagraph"/>
        <w:numPr>
          <w:ilvl w:val="0"/>
          <w:numId w:val="1"/>
        </w:numPr>
        <w:rPr>
          <w:rFonts w:ascii="Cambria Math" w:hAnsi="Cambria Math"/>
          <w:sz w:val="24"/>
          <w:szCs w:val="24"/>
        </w:rPr>
      </w:pPr>
      <w:r w:rsidRPr="00AC28E5">
        <w:rPr>
          <w:rFonts w:ascii="Cambria Math" w:hAnsi="Cambria Math"/>
          <w:sz w:val="24"/>
          <w:szCs w:val="24"/>
        </w:rPr>
        <w:t>Teach the members about the opportunities that exist within the organization</w:t>
      </w:r>
    </w:p>
    <w:p w:rsidR="00344B47" w:rsidRPr="00AC28E5" w:rsidRDefault="00344B47" w:rsidP="00344B47">
      <w:pPr>
        <w:pStyle w:val="ListParagraph"/>
        <w:numPr>
          <w:ilvl w:val="0"/>
          <w:numId w:val="1"/>
        </w:numPr>
        <w:rPr>
          <w:rFonts w:ascii="Cambria Math" w:hAnsi="Cambria Math"/>
          <w:sz w:val="24"/>
          <w:szCs w:val="24"/>
        </w:rPr>
      </w:pPr>
      <w:r w:rsidRPr="00AC28E5">
        <w:rPr>
          <w:rFonts w:ascii="Cambria Math" w:hAnsi="Cambria Math"/>
          <w:sz w:val="24"/>
          <w:szCs w:val="24"/>
        </w:rPr>
        <w:t>Get started on creating an online resume for the members</w:t>
      </w:r>
    </w:p>
    <w:p w:rsidR="00344B47" w:rsidRPr="00AC28E5" w:rsidRDefault="00344B47" w:rsidP="00344B47">
      <w:pPr>
        <w:pStyle w:val="ListParagraph"/>
        <w:numPr>
          <w:ilvl w:val="0"/>
          <w:numId w:val="1"/>
        </w:numPr>
        <w:rPr>
          <w:rFonts w:ascii="Cambria Math" w:hAnsi="Cambria Math"/>
          <w:sz w:val="24"/>
          <w:szCs w:val="24"/>
        </w:rPr>
      </w:pPr>
      <w:r w:rsidRPr="00AC28E5">
        <w:rPr>
          <w:rFonts w:ascii="Cambria Math" w:hAnsi="Cambria Math"/>
          <w:sz w:val="24"/>
          <w:szCs w:val="24"/>
        </w:rPr>
        <w:t>Let them know of the events that they can help with and the committees they can join</w:t>
      </w:r>
    </w:p>
    <w:p w:rsidR="00344B47" w:rsidRPr="00AC28E5" w:rsidRDefault="00344B47" w:rsidP="00344B47">
      <w:pPr>
        <w:pStyle w:val="ListParagraph"/>
        <w:numPr>
          <w:ilvl w:val="0"/>
          <w:numId w:val="1"/>
        </w:numPr>
        <w:rPr>
          <w:rFonts w:ascii="Cambria Math" w:hAnsi="Cambria Math"/>
          <w:sz w:val="24"/>
          <w:szCs w:val="24"/>
        </w:rPr>
      </w:pPr>
      <w:r w:rsidRPr="00AC28E5">
        <w:rPr>
          <w:rFonts w:ascii="Cambria Math" w:hAnsi="Cambria Math"/>
          <w:sz w:val="24"/>
          <w:szCs w:val="24"/>
        </w:rPr>
        <w:t>Let them know of the partnership TBI Raiders has with the Se</w:t>
      </w:r>
      <w:r w:rsidR="008A3B61" w:rsidRPr="00AC28E5">
        <w:rPr>
          <w:rFonts w:ascii="Cambria Math" w:hAnsi="Cambria Math"/>
          <w:sz w:val="24"/>
          <w:szCs w:val="24"/>
        </w:rPr>
        <w:t>rvice Learning Volunteer Center</w:t>
      </w:r>
    </w:p>
    <w:p w:rsidR="008A3B61" w:rsidRDefault="008A3B61" w:rsidP="008A3B61">
      <w:pPr>
        <w:rPr>
          <w:rFonts w:ascii="Cambria Math" w:hAnsi="Cambria Math"/>
          <w:sz w:val="24"/>
          <w:szCs w:val="24"/>
        </w:rPr>
      </w:pPr>
      <w:r w:rsidRPr="00AC28E5">
        <w:rPr>
          <w:rFonts w:ascii="Cambria Math" w:hAnsi="Cambria Math"/>
          <w:sz w:val="24"/>
          <w:szCs w:val="24"/>
        </w:rPr>
        <w:t>This is to help the members get started on creating a better future for themselves to go on to bigger and better things once they finish with their schooling.</w:t>
      </w:r>
    </w:p>
    <w:p w:rsidR="00AC28E5" w:rsidRDefault="00AC28E5" w:rsidP="008A3B61">
      <w:pPr>
        <w:rPr>
          <w:rFonts w:ascii="Cambria Math" w:hAnsi="Cambria Math"/>
          <w:sz w:val="24"/>
          <w:szCs w:val="24"/>
        </w:rPr>
      </w:pPr>
    </w:p>
    <w:p w:rsidR="00AC28E5" w:rsidRPr="00AC28E5" w:rsidRDefault="00AC28E5" w:rsidP="008A3B61">
      <w:pPr>
        <w:rPr>
          <w:rFonts w:ascii="Cambria Math" w:hAnsi="Cambria Math"/>
          <w:sz w:val="24"/>
          <w:szCs w:val="24"/>
        </w:rPr>
      </w:pPr>
    </w:p>
    <w:p w:rsidR="008A3B61" w:rsidRDefault="008A3B61" w:rsidP="008A3B61">
      <w:pPr>
        <w:rPr>
          <w:rFonts w:ascii="Pickwick" w:hAnsi="Pickwick"/>
          <w:sz w:val="44"/>
          <w:szCs w:val="44"/>
        </w:rPr>
      </w:pPr>
      <w:r w:rsidRPr="00C37578">
        <w:rPr>
          <w:rFonts w:ascii="Pickwick" w:hAnsi="Pickwick"/>
          <w:sz w:val="44"/>
          <w:szCs w:val="44"/>
        </w:rPr>
        <w:lastRenderedPageBreak/>
        <w:t>Raiders Explosion</w:t>
      </w:r>
    </w:p>
    <w:p w:rsidR="00C37578" w:rsidRDefault="00C37578" w:rsidP="008A3B61">
      <w:pPr>
        <w:rPr>
          <w:rFonts w:ascii="Cambria Math" w:hAnsi="Cambria Math"/>
          <w:sz w:val="28"/>
          <w:szCs w:val="28"/>
        </w:rPr>
      </w:pPr>
    </w:p>
    <w:p w:rsidR="00C37578" w:rsidRPr="00AC28E5" w:rsidRDefault="00C37578" w:rsidP="008A3B61">
      <w:pPr>
        <w:rPr>
          <w:rFonts w:ascii="Cambria Math" w:hAnsi="Cambria Math"/>
          <w:sz w:val="24"/>
          <w:szCs w:val="24"/>
        </w:rPr>
      </w:pPr>
      <w:r w:rsidRPr="00AC28E5">
        <w:rPr>
          <w:rFonts w:ascii="Cambria Math" w:hAnsi="Cambria Math"/>
          <w:sz w:val="24"/>
          <w:szCs w:val="24"/>
        </w:rPr>
        <w:t xml:space="preserve">This takes place every November the week prior to Thanksgiving.  The reason for this is Director Murie’s near fatal accident happened November 22, 1997.  It not only serves as a </w:t>
      </w:r>
      <w:proofErr w:type="spellStart"/>
      <w:r w:rsidRPr="00AC28E5">
        <w:rPr>
          <w:rFonts w:ascii="Cambria Math" w:hAnsi="Cambria Math"/>
          <w:sz w:val="24"/>
          <w:szCs w:val="24"/>
        </w:rPr>
        <w:t>rem</w:t>
      </w:r>
      <w:r w:rsidR="00AC28E5" w:rsidRPr="00AC28E5">
        <w:rPr>
          <w:rFonts w:ascii="Cambria Math" w:hAnsi="Cambria Math"/>
          <w:sz w:val="24"/>
          <w:szCs w:val="24"/>
        </w:rPr>
        <w:t>ber</w:t>
      </w:r>
      <w:r w:rsidR="00B1313C">
        <w:rPr>
          <w:rFonts w:ascii="Cambria Math" w:hAnsi="Cambria Math"/>
          <w:sz w:val="24"/>
          <w:szCs w:val="24"/>
        </w:rPr>
        <w:t>e</w:t>
      </w:r>
      <w:r w:rsidRPr="00AC28E5">
        <w:rPr>
          <w:rFonts w:ascii="Cambria Math" w:hAnsi="Cambria Math"/>
          <w:sz w:val="24"/>
          <w:szCs w:val="24"/>
        </w:rPr>
        <w:t>nce</w:t>
      </w:r>
      <w:proofErr w:type="spellEnd"/>
      <w:r w:rsidRPr="00AC28E5">
        <w:rPr>
          <w:rFonts w:ascii="Cambria Math" w:hAnsi="Cambria Math"/>
          <w:sz w:val="24"/>
          <w:szCs w:val="24"/>
        </w:rPr>
        <w:t xml:space="preserve"> for her and reminds her of why she does what she does but she wants others to think of the decisions they make behind the wheel especially around the holidays.  </w:t>
      </w:r>
      <w:r w:rsidR="00AC28E5" w:rsidRPr="00AC28E5">
        <w:rPr>
          <w:rFonts w:ascii="Cambria Math" w:hAnsi="Cambria Math"/>
          <w:sz w:val="24"/>
          <w:szCs w:val="24"/>
        </w:rPr>
        <w:t>The holidays, like any other day of the year, should be celebrated and spent with those we care about instead of wondering if someone we care about is going to live or going to die.</w:t>
      </w:r>
    </w:p>
    <w:p w:rsidR="00AC28E5" w:rsidRDefault="00AC28E5" w:rsidP="008A3B61">
      <w:pPr>
        <w:rPr>
          <w:rFonts w:ascii="Cambria Math" w:hAnsi="Cambria Math"/>
          <w:sz w:val="24"/>
          <w:szCs w:val="24"/>
        </w:rPr>
      </w:pPr>
      <w:r w:rsidRPr="00AC28E5">
        <w:rPr>
          <w:rFonts w:ascii="Cambria Math" w:hAnsi="Cambria Math"/>
          <w:sz w:val="24"/>
          <w:szCs w:val="24"/>
        </w:rPr>
        <w:t>Day one of the event will focus on disabilities in general since once you sustain a TBI you may acquire multiple disabilities.  So it is important to educate on all disabilities.  Day two will tie everything together with focus on Traumatic Brain Injury.</w:t>
      </w:r>
    </w:p>
    <w:p w:rsidR="00AC28E5" w:rsidRDefault="00AC28E5" w:rsidP="008A3B61">
      <w:pPr>
        <w:rPr>
          <w:rFonts w:ascii="Cambria Math" w:hAnsi="Cambria Math"/>
          <w:sz w:val="24"/>
          <w:szCs w:val="24"/>
        </w:rPr>
      </w:pPr>
    </w:p>
    <w:p w:rsidR="00AC28E5" w:rsidRDefault="00AC28E5" w:rsidP="008A3B61">
      <w:pPr>
        <w:rPr>
          <w:rFonts w:ascii="Cambria Math" w:hAnsi="Cambria Math"/>
          <w:sz w:val="24"/>
          <w:szCs w:val="24"/>
        </w:rPr>
      </w:pPr>
    </w:p>
    <w:p w:rsidR="00AC28E5" w:rsidRDefault="00AC28E5" w:rsidP="008A3B61">
      <w:pPr>
        <w:rPr>
          <w:rFonts w:ascii="Cambria Math" w:hAnsi="Cambria Math"/>
          <w:sz w:val="24"/>
          <w:szCs w:val="24"/>
        </w:rPr>
      </w:pPr>
    </w:p>
    <w:p w:rsidR="00AC28E5" w:rsidRDefault="00AC28E5" w:rsidP="008A3B61">
      <w:pPr>
        <w:rPr>
          <w:rFonts w:ascii="Pickwick" w:hAnsi="Pickwick"/>
          <w:sz w:val="44"/>
          <w:szCs w:val="44"/>
        </w:rPr>
      </w:pPr>
      <w:r>
        <w:rPr>
          <w:rFonts w:ascii="Pickwick" w:hAnsi="Pickwick"/>
          <w:sz w:val="44"/>
          <w:szCs w:val="44"/>
        </w:rPr>
        <w:lastRenderedPageBreak/>
        <w:t>Raiders Experience</w:t>
      </w:r>
    </w:p>
    <w:p w:rsidR="00AC28E5" w:rsidRDefault="00AC28E5" w:rsidP="008A3B61">
      <w:pPr>
        <w:rPr>
          <w:rFonts w:ascii="Cambria Math" w:hAnsi="Cambria Math"/>
          <w:sz w:val="24"/>
          <w:szCs w:val="24"/>
        </w:rPr>
      </w:pPr>
    </w:p>
    <w:p w:rsidR="00AC28E5" w:rsidRPr="00AC28E5" w:rsidRDefault="00AC28E5" w:rsidP="008A3B61">
      <w:pPr>
        <w:rPr>
          <w:rFonts w:ascii="Cambria Math" w:hAnsi="Cambria Math"/>
          <w:sz w:val="24"/>
          <w:szCs w:val="24"/>
        </w:rPr>
      </w:pPr>
      <w:r>
        <w:rPr>
          <w:rFonts w:ascii="Cambria Math" w:hAnsi="Cambria Math"/>
          <w:sz w:val="24"/>
          <w:szCs w:val="24"/>
        </w:rPr>
        <w:t xml:space="preserve">This is to be in March.  This is to celebrate the capabilities of survivors but to also educate others of the true realities to try to limit the misconceptions which may form.  The first day will seek to bring more awareness on </w:t>
      </w:r>
      <w:r w:rsidR="00B1313C">
        <w:rPr>
          <w:rFonts w:ascii="Cambria Math" w:hAnsi="Cambria Math"/>
          <w:sz w:val="24"/>
          <w:szCs w:val="24"/>
        </w:rPr>
        <w:t>Post-Traumatic</w:t>
      </w:r>
      <w:r>
        <w:rPr>
          <w:rFonts w:ascii="Cambria Math" w:hAnsi="Cambria Math"/>
          <w:sz w:val="24"/>
          <w:szCs w:val="24"/>
        </w:rPr>
        <w:t xml:space="preserve"> Stress Disorder.</w:t>
      </w:r>
    </w:p>
    <w:p w:rsidR="008A3B61" w:rsidRPr="008A3B61" w:rsidRDefault="008A3B61" w:rsidP="008A3B61">
      <w:pPr>
        <w:rPr>
          <w:rFonts w:ascii="Cambria Math" w:hAnsi="Cambria Math"/>
          <w:sz w:val="28"/>
          <w:szCs w:val="28"/>
        </w:rPr>
      </w:pPr>
    </w:p>
    <w:sectPr w:rsidR="008A3B61" w:rsidRPr="008A3B61" w:rsidSect="000A3798">
      <w:pgSz w:w="20160" w:h="12240" w:orient="landscape" w:code="5"/>
      <w:pgMar w:top="1440" w:right="1440" w:bottom="1440" w:left="180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 DELANEY">
    <w:altName w:val="Times New Roman"/>
    <w:charset w:val="00"/>
    <w:family w:val="auto"/>
    <w:pitch w:val="variable"/>
    <w:sig w:usb0="00000003" w:usb1="0000000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haucer">
    <w:altName w:val="Times New Roman"/>
    <w:charset w:val="00"/>
    <w:family w:val="auto"/>
    <w:pitch w:val="variable"/>
    <w:sig w:usb0="00000001"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Pickwick">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F3794"/>
    <w:multiLevelType w:val="hybridMultilevel"/>
    <w:tmpl w:val="E194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98"/>
    <w:rsid w:val="000A3798"/>
    <w:rsid w:val="001A6CF2"/>
    <w:rsid w:val="001C4E83"/>
    <w:rsid w:val="00344B47"/>
    <w:rsid w:val="00472AC2"/>
    <w:rsid w:val="0071226A"/>
    <w:rsid w:val="008A3B61"/>
    <w:rsid w:val="00AC28E5"/>
    <w:rsid w:val="00B1313C"/>
    <w:rsid w:val="00BE3C2F"/>
    <w:rsid w:val="00C37578"/>
    <w:rsid w:val="00CA68B2"/>
    <w:rsid w:val="00F2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98"/>
    <w:rPr>
      <w:rFonts w:ascii="Tahoma" w:hAnsi="Tahoma" w:cs="Tahoma"/>
      <w:sz w:val="16"/>
      <w:szCs w:val="16"/>
    </w:rPr>
  </w:style>
  <w:style w:type="paragraph" w:styleId="ListParagraph">
    <w:name w:val="List Paragraph"/>
    <w:basedOn w:val="Normal"/>
    <w:uiPriority w:val="34"/>
    <w:qFormat/>
    <w:rsid w:val="00344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98"/>
    <w:rPr>
      <w:rFonts w:ascii="Tahoma" w:hAnsi="Tahoma" w:cs="Tahoma"/>
      <w:sz w:val="16"/>
      <w:szCs w:val="16"/>
    </w:rPr>
  </w:style>
  <w:style w:type="paragraph" w:styleId="ListParagraph">
    <w:name w:val="List Paragraph"/>
    <w:basedOn w:val="Normal"/>
    <w:uiPriority w:val="34"/>
    <w:qFormat/>
    <w:rsid w:val="00344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radeshow">
  <a:themeElements>
    <a:clrScheme name="Tradeshow">
      <a:dk1>
        <a:srgbClr val="3F3F3F"/>
      </a:dk1>
      <a:lt1>
        <a:srgbClr val="FFFFFF"/>
      </a:lt1>
      <a:dk2>
        <a:srgbClr val="7DAFC3"/>
      </a:dk2>
      <a:lt2>
        <a:srgbClr val="E5E4DF"/>
      </a:lt2>
      <a:accent1>
        <a:srgbClr val="7C959A"/>
      </a:accent1>
      <a:accent2>
        <a:srgbClr val="DB8631"/>
      </a:accent2>
      <a:accent3>
        <a:srgbClr val="E3CC5A"/>
      </a:accent3>
      <a:accent4>
        <a:srgbClr val="ACADA8"/>
      </a:accent4>
      <a:accent5>
        <a:srgbClr val="927C61"/>
      </a:accent5>
      <a:accent6>
        <a:srgbClr val="B3B435"/>
      </a:accent6>
      <a:hlink>
        <a:srgbClr val="0079A4"/>
      </a:hlink>
      <a:folHlink>
        <a:srgbClr val="595959"/>
      </a:folHlink>
    </a:clrScheme>
    <a:fontScheme name="Tradeshow">
      <a:majorFont>
        <a:latin typeface="Arial Black"/>
        <a:ea typeface=""/>
        <a:cs typeface=""/>
        <a:font script="Jpan" typeface="ＭＳ Ｐゴシック"/>
        <a:font script="Hang" typeface="HY견고딕"/>
        <a:font script="Hans" typeface="宋体"/>
        <a:font script="Hant" typeface="新細明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ndara"/>
        <a:ea typeface=""/>
        <a:cs typeface=""/>
        <a:font script="Jpan" typeface="ＭＳ Ｐゴシック"/>
        <a:font script="Hang" typeface="HY견명조"/>
        <a:font script="Hans" typeface="华文楷体"/>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adeshow">
      <a:fillStyleLst>
        <a:solidFill>
          <a:schemeClr val="phClr"/>
        </a:solidFill>
        <a:gradFill rotWithShape="1">
          <a:gsLst>
            <a:gs pos="0">
              <a:schemeClr val="phClr">
                <a:tint val="45000"/>
                <a:satMod val="300000"/>
              </a:schemeClr>
            </a:gs>
            <a:gs pos="35000">
              <a:schemeClr val="phClr">
                <a:tint val="45000"/>
                <a:satMod val="300000"/>
              </a:schemeClr>
            </a:gs>
            <a:gs pos="69000">
              <a:schemeClr val="phClr">
                <a:tint val="45000"/>
                <a:satMod val="350000"/>
              </a:schemeClr>
            </a:gs>
            <a:gs pos="100000">
              <a:schemeClr val="phClr">
                <a:tint val="60000"/>
                <a:satMod val="350000"/>
              </a:schemeClr>
            </a:gs>
          </a:gsLst>
          <a:path path="circle">
            <a:fillToRect l="50000" t="50000" r="100000" b="100000"/>
          </a:path>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9525" cap="rnd" cmpd="sng" algn="ctr">
          <a:solidFill>
            <a:schemeClr val="phClr"/>
          </a:solidFill>
          <a:prstDash val="solid"/>
        </a:ln>
        <a:ln w="38475" cap="flat" cmpd="sng" algn="ctr">
          <a:solidFill>
            <a:schemeClr val="phClr"/>
          </a:solidFill>
          <a:prstDash val="solid"/>
        </a:ln>
        <a:ln w="54850" cap="flat" cmpd="sng" algn="ctr">
          <a:solidFill>
            <a:schemeClr val="phClr"/>
          </a:solidFill>
          <a:prstDash val="solid"/>
        </a:ln>
      </a:lnStyleLst>
      <a:effectStyleLst>
        <a:effectStyle>
          <a:effectLst>
            <a:outerShdw blurRad="50800" dist="25400" dir="5400000" rotWithShape="0">
              <a:srgbClr val="000000">
                <a:alpha val="55000"/>
              </a:srgbClr>
            </a:outerShdw>
          </a:effectLst>
        </a:effectStyle>
        <a:effectStyle>
          <a:effectLst>
            <a:outerShdw blurRad="50800" dist="25400" dir="5400000" rotWithShape="0">
              <a:srgbClr val="000000">
                <a:alpha val="44000"/>
              </a:srgbClr>
            </a:outerShdw>
          </a:effectLst>
        </a:effectStyle>
        <a:effectStyle>
          <a:effectLst>
            <a:outerShdw blurRad="50800" dist="25400" dir="5400000" rotWithShape="0">
              <a:srgbClr val="000000">
                <a:alpha val="55000"/>
              </a:srgbClr>
            </a:outerShdw>
          </a:effectLst>
          <a:scene3d>
            <a:camera prst="orthographicFront">
              <a:rot lat="0" lon="0" rev="0"/>
            </a:camera>
            <a:lightRig rig="brightRoom" dir="tl">
              <a:rot lat="0" lon="0" rev="3600000"/>
            </a:lightRig>
          </a:scene3d>
          <a:sp3d contourW="31750" prstMaterial="flat">
            <a:bevelT w="127000" h="254000" prst="angle"/>
            <a:contourClr>
              <a:schemeClr val="phClr">
                <a:shade val="20000"/>
              </a:schemeClr>
            </a:contourClr>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User</cp:lastModifiedBy>
  <cp:revision>6</cp:revision>
  <dcterms:created xsi:type="dcterms:W3CDTF">2013-07-02T01:41:00Z</dcterms:created>
  <dcterms:modified xsi:type="dcterms:W3CDTF">2013-09-06T22:33:00Z</dcterms:modified>
</cp:coreProperties>
</file>